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0E" w:rsidRDefault="003F1D0E" w:rsidP="00617AC2">
      <w:pPr>
        <w:spacing w:after="0"/>
        <w:jc w:val="center"/>
      </w:pP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</w:rPr>
        <w:t>MRPiPS wydatkowania środków KFS w roku 2020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br/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 po 45 roku życia;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wparcie kształcenia ustawicznego w zidentyfikowanych w danym powiecie lub województwie zawodach deficytowych;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kształcenia ustawicznego w związku z rozwojem w firmach technologii </w:t>
      </w:r>
      <w:r>
        <w:rPr>
          <w:rFonts w:ascii="Times New Roman" w:hAnsi="Times New Roman"/>
          <w:sz w:val="24"/>
          <w:szCs w:val="24"/>
        </w:rPr>
        <w:br/>
        <w:t>i zastosowaniem wprowadzanych przez firmy narzędzi pracy;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realizacji szkoleń dla instruktorów praktycznej nauki zawodu bądź osób mających zamiar podjęcia się tego zajęcia, opiekunów praktyk zawodowych </w:t>
      </w:r>
      <w:r>
        <w:rPr>
          <w:rFonts w:ascii="Times New Roman" w:hAnsi="Times New Roman"/>
          <w:sz w:val="24"/>
          <w:szCs w:val="24"/>
        </w:rPr>
        <w:br/>
        <w:t>i opiekunów stażu uczniowskiego oraz szkoleń branżowych dla nauczycieli kształcenia zawodowego;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614F45" w:rsidRDefault="00614F45">
      <w:bookmarkStart w:id="0" w:name="_GoBack"/>
      <w:bookmarkEnd w:id="0"/>
    </w:p>
    <w:sectPr w:rsidR="0061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0E"/>
    <w:rsid w:val="003F1D0E"/>
    <w:rsid w:val="00614F45"/>
    <w:rsid w:val="006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DE2-18A6-42E2-B9C3-F9A2849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0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D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2020-01-22T13:19:00Z</dcterms:created>
  <dcterms:modified xsi:type="dcterms:W3CDTF">2020-12-10T13:55:00Z</dcterms:modified>
</cp:coreProperties>
</file>